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7C516C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  <w:r w:rsidR="007C516C" w:rsidRPr="007C516C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Минская область была новатором по </w:t>
      </w:r>
      <w:proofErr w:type="gramStart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>внедрению  передвижных</w:t>
      </w:r>
      <w:proofErr w:type="gramEnd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 ФАП, а в 2023 году  по модульным ФАП.</w:t>
      </w:r>
    </w:p>
    <w:p w14:paraId="3421EE61" w14:textId="26F5794F" w:rsidR="00CE4CCC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E735D9F" w14:textId="77777777" w:rsidR="00A76B01" w:rsidRDefault="00A76B0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C368C76" w14:textId="42CBB7C0" w:rsidR="00A76B01" w:rsidRPr="00A76B01" w:rsidRDefault="00A76B01" w:rsidP="00D858B6">
      <w:pPr>
        <w:pStyle w:val="ae"/>
        <w:shd w:val="clear" w:color="auto" w:fill="FFFFFF"/>
        <w:spacing w:before="0" w:beforeAutospacing="0"/>
        <w:ind w:firstLine="567"/>
        <w:jc w:val="both"/>
        <w:rPr>
          <w:b/>
          <w:i/>
          <w:color w:val="222222"/>
          <w:sz w:val="28"/>
          <w:szCs w:val="28"/>
          <w:lang w:val="ru-RU"/>
        </w:rPr>
      </w:pPr>
      <w:proofErr w:type="spellStart"/>
      <w:proofErr w:type="gramStart"/>
      <w:r>
        <w:rPr>
          <w:b/>
          <w:i/>
          <w:color w:val="222222"/>
          <w:sz w:val="28"/>
          <w:szCs w:val="28"/>
          <w:lang w:val="ru-RU"/>
        </w:rPr>
        <w:t>Справочно:</w:t>
      </w:r>
      <w:r w:rsidRPr="00A76B01">
        <w:rPr>
          <w:b/>
          <w:i/>
          <w:color w:val="222222"/>
          <w:sz w:val="28"/>
          <w:szCs w:val="28"/>
          <w:lang w:val="ru-RU"/>
        </w:rPr>
        <w:t>С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2018 года успешно реализуется Концепция регионального здравоохранения. В Минской области созданы и функционируют 4 территориальных центра специализированной медицинской помощи (далее — ТЦСМП). Центры сформированы с учетом транспортной доступности для закрепленных районов. Основные – Центральный ТЦСМП (Минский район и областные учреждения здравоохранения), охватывает территорию Минского, Логойского, Дзержинского, Смолевичского, Узденского, Столбцовского, Пуховичского и Червенского районов; Восточный ТЦСМП (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г.Борисов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, опорная больница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г.Жодино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>), охватывает территорию Борисовского, Березинского, Крупского районов и г. Жодино; Западный ТЦСМП(г. Молодечно), охватывает территорию Молодечненского, Воложинского, Вилейского и Мядельского районов; Южный ТЦСМП (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г.Солигорск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, опорная больница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г.Слуцка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), охватывает территорию Солигорского, Слуцкого, Любанского, Стародорожского, Несвижского, Клецкого и Копыльского районов. Отработаны дорожные карты по различным профилям </w:t>
      </w:r>
      <w:proofErr w:type="spellStart"/>
      <w:proofErr w:type="gramStart"/>
      <w:r w:rsidRPr="00A76B01">
        <w:rPr>
          <w:b/>
          <w:i/>
          <w:color w:val="222222"/>
          <w:sz w:val="28"/>
          <w:szCs w:val="28"/>
          <w:lang w:val="ru-RU"/>
        </w:rPr>
        <w:t>заболеваний.Во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всех ТЦСМП введены в эксплуатацию и работают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магнитнорезонансные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 томографы, компьютерные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томографы,ангиографические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 комплексы, что позволило улучшить доступность оказания медицинской помощи пациентам с острым коронарным синдромом и острым нарушением мозгового кровообращения.</w:t>
      </w:r>
    </w:p>
    <w:p w14:paraId="0E6DFD9C" w14:textId="77777777" w:rsidR="00D858B6" w:rsidRDefault="00D858B6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D98FF9B" w14:textId="58429C2B" w:rsidR="008F2565" w:rsidRPr="00086C5E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86C5E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86C5E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86C5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7FF0CC4A" w14:textId="77777777" w:rsidR="00D858B6" w:rsidRDefault="00D858B6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A6F41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E9829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BDB7D8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1CEACB" w14:textId="145AF189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СПРАВОЧНО:</w:t>
      </w:r>
    </w:p>
    <w:p w14:paraId="36FA00A9" w14:textId="4432587B" w:rsidR="00EA7AA7" w:rsidRPr="004B046B" w:rsidRDefault="0010322D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Минской области в</w:t>
      </w:r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ыполнено 2 237 </w:t>
      </w:r>
      <w:proofErr w:type="spellStart"/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эндопротезирований</w:t>
      </w:r>
      <w:proofErr w:type="spellEnd"/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тазобедренных суставов и 1 344 эндопротезирования коленных суставов, что составило 108 % и 117 % от плана.</w:t>
      </w:r>
    </w:p>
    <w:p w14:paraId="5D0EFDEF" w14:textId="05DB52BC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Нейрохирурги МОКБ провели уникальную операцию по удалению объемного процесса спинного мозга (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арахноидальная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киста) на уровне 4-го грудного позвонка, офтальмологи МОДКБ внедрили метод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субконъюнктивального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введения 1 % низкомолекулярного натрия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гиалуроната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при синдроме сухого глаза, нейротрофическом кератите,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кератопатии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различной этиологии и др.; метод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панретинальной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лазеркоагуляции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у пациентов с меланомой сосудистой оболочки глаза больших размеров Т3–Т4 при лучевой терапии.</w:t>
      </w:r>
    </w:p>
    <w:p w14:paraId="1E54FC1D" w14:textId="34CCC7D3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В комиссию по отбору на ЭКО направлены 204 супружеские пары, по которым приняты положительные решения, что составило 107,4 % от плана.</w:t>
      </w:r>
    </w:p>
    <w:p w14:paraId="0FCE8316" w14:textId="24D9CBF5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 Медико-социальный реабилитационный центр для пожилых и инвалидов с использованием инновационной роботизированной технологии и системы </w:t>
      </w:r>
      <w:proofErr w:type="gram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контроля  на</w:t>
      </w:r>
      <w:proofErr w:type="gram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50 коек открыт</w:t>
      </w:r>
      <w:r w:rsidR="001E4384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Узденской ЦРБ.</w:t>
      </w:r>
    </w:p>
    <w:p w14:paraId="30ADD91C" w14:textId="548E561A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B046B">
        <w:rPr>
          <w:rFonts w:ascii="Arial" w:eastAsia="Times New Roman" w:hAnsi="Arial" w:cs="Arial"/>
          <w:color w:val="22262A"/>
          <w:sz w:val="24"/>
          <w:szCs w:val="24"/>
        </w:rPr>
        <w:t> </w:t>
      </w: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052C5D5B" w14:textId="0A65B60F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14:paraId="0C077743" w14:textId="33BBAE67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2024 году в Минской области в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ведены в эксплуатацию поликлиника в Смолевичах, отделение анестезиологии и реанимации МОДКБ после капитального ремонта с модернизацией. </w:t>
      </w:r>
    </w:p>
    <w:p w14:paraId="12C95DDB" w14:textId="726AD1DC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Установлен компьютерный томограф в филиале № 1 «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Атолинская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больница имени Н. Г. 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Гришука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» Минской ЦРБ, открыт кабинет МРТ в областной клинической больнице. </w:t>
      </w:r>
    </w:p>
    <w:p w14:paraId="522258D3" w14:textId="2F6894B1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Продолжаются работы по возведению больницы с поликлиникой в Заславле, поликлиники в Фаниполе, строительство хирургического корпуса № 2 МОКБ</w:t>
      </w: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, строительство станции переливания крови на территории Борисовской ЦРБ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, лечебного корпуса в п. Дружный Пуховичского района, поликлиники в д. </w:t>
      </w:r>
      <w:proofErr w:type="spellStart"/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Копищи</w:t>
      </w:r>
      <w:proofErr w:type="spellEnd"/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Минского района.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 начале 2025 года закончена реконструкция корпуса реабилитации Клинического родильного дома Минской области.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</w:p>
    <w:p w14:paraId="0D101F6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45AF5E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0AEEF6F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1F8BE3A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9A16ED4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CA6867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16D94FEC" w14:textId="11390ACD" w:rsidR="00EA7AA7" w:rsidRDefault="00EA7AA7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14:paraId="4A1F9E6C" w14:textId="08615202" w:rsidR="00EA7AA7" w:rsidRDefault="00EA7AA7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hAnsi="Times New Roman" w:cs="Times New Roman"/>
          <w:b/>
          <w:i/>
          <w:sz w:val="28"/>
          <w:szCs w:val="28"/>
        </w:rPr>
        <w:t>Так в Минской области в 2024 году з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а счет средств республиканского и областного бюджета закуплены 2 компьютерных томографа, аппарат МРТ, рентгеновские аппараты, маммографы, в том числе один передвижной, стоматологические установки, аппараты УЗИ, стерилизационное, офтальмологическое оборудование, эндоскопическое с системами обработки, лапароскопические стойки, система для радиочастотной абляции сердца, а также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артроскопическая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стойка, моторные системы для травматологии, диагностический комплекс для проведения электромиографии, хирургические столы, аппараты искусственной вентиляции легких, наркозно-дыхательные аппараты.</w:t>
      </w: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lastRenderedPageBreak/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3EF96704" w14:textId="77777777" w:rsidR="007765C4" w:rsidRDefault="007765C4" w:rsidP="007C516C">
      <w:pPr>
        <w:spacing w:before="120" w:after="120" w:line="235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3D6674A" w14:textId="52451311" w:rsidR="007B6C97" w:rsidRPr="0035176D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</w:t>
      </w:r>
      <w:r w:rsidRPr="009A08D5">
        <w:rPr>
          <w:rFonts w:ascii="Times New Roman" w:hAnsi="Times New Roman" w:cs="Times New Roman"/>
          <w:sz w:val="30"/>
          <w:szCs w:val="30"/>
        </w:rPr>
        <w:lastRenderedPageBreak/>
        <w:t xml:space="preserve">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>(круглых столов, диалоговых площадок, 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D8902B0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9A7F4F" w14:textId="0C971791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</w:p>
    <w:p w14:paraId="78D1991E" w14:textId="1DC11A30" w:rsidR="00401FE3" w:rsidRPr="00401FE3" w:rsidRDefault="00401FE3" w:rsidP="00401FE3">
      <w:pPr>
        <w:pStyle w:val="ae"/>
        <w:shd w:val="clear" w:color="auto" w:fill="FFFFFF"/>
        <w:spacing w:before="0" w:beforeAutospacing="0"/>
        <w:jc w:val="both"/>
        <w:rPr>
          <w:b/>
          <w:i/>
          <w:color w:val="222222"/>
          <w:sz w:val="28"/>
          <w:szCs w:val="28"/>
          <w:lang w:val="ru-RU"/>
        </w:rPr>
      </w:pPr>
      <w:r w:rsidRPr="00401FE3">
        <w:rPr>
          <w:b/>
          <w:i/>
          <w:color w:val="222222"/>
          <w:sz w:val="28"/>
          <w:szCs w:val="28"/>
          <w:lang w:val="ru-RU"/>
        </w:rPr>
        <w:t>В Минской области  осуществляют деятельность с населением по месту жительства 24 организации физической культуры и спорта, в том числе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17 физкультурно-оздоровительных центров, 6 физкультурно-спортивных клубов и 1 физкультурно-оздоровительный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комплекс.В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2024 году проведено 2709 спортивно-массовых и туристических мероприятий, в которых приняли участие 176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280 человек, в том числе 103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366 детей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подростков.В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области проводятся традиционные соревнования среди детей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и подростков по биатлону «Снежный снайпер», по футболу «Кожаный мяч», по хоккею «Золотая шайба», комплексные соревнования в рамках Государственного физкультурно-оздоровительного комплекса, областная спартакиада «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Минщина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спортивная».Для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любителей экстремального, приключенческого бега в 2024 году проводились серии из приключенческих забегов: экстремальные гонки «</w:t>
      </w:r>
      <w:proofErr w:type="spellStart"/>
      <w:r w:rsidRPr="00401FE3">
        <w:rPr>
          <w:b/>
          <w:i/>
          <w:color w:val="222222"/>
          <w:sz w:val="28"/>
          <w:szCs w:val="28"/>
        </w:rPr>
        <w:t>Kopyl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» в г. Копыле, 16-й любительский марафон </w:t>
      </w:r>
      <w:r w:rsidRPr="00401FE3">
        <w:rPr>
          <w:b/>
          <w:i/>
          <w:color w:val="222222"/>
          <w:sz w:val="28"/>
          <w:szCs w:val="28"/>
          <w:lang w:val="ru-RU"/>
        </w:rPr>
        <w:lastRenderedPageBreak/>
        <w:t>«Налибоки»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Столбцовском районе, 36-й национальный фестиваль бега «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Языльская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десятка» в г. Старые Дороги, дворцово-парковый марафон «Дискавери Несвиж» в г. Несвиже, легкоатлетический пробег «Копыльское кольцо» в Копыльском районе, музейный забег «Шляхам Якуба Коласа»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г. Столбцы, забег «</w:t>
      </w:r>
      <w:r w:rsidRPr="00401FE3">
        <w:rPr>
          <w:b/>
          <w:i/>
          <w:color w:val="222222"/>
          <w:sz w:val="28"/>
          <w:szCs w:val="28"/>
        </w:rPr>
        <w:t>Kaspersky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2024» в Дзержинском районе, забег «Жук-Трейл#27» в Логойском районе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другие.В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мае и сентябре 2024 года во всех регионах области прошли соревнования по сдаче нормативов Государственного физкультурно-оздоровительного комплекса Республики Беларусь «Готов к труду и обороне». Приняли участие в соревнованиях 11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586 жителей области, из них удостоены нагрудных знаков различной степени 1980 </w:t>
      </w:r>
      <w:proofErr w:type="spellStart"/>
      <w:proofErr w:type="gramStart"/>
      <w:r w:rsidRPr="00401FE3">
        <w:rPr>
          <w:b/>
          <w:i/>
          <w:color w:val="222222"/>
          <w:sz w:val="28"/>
          <w:szCs w:val="28"/>
          <w:lang w:val="ru-RU"/>
        </w:rPr>
        <w:t>человек.Для</w:t>
      </w:r>
      <w:proofErr w:type="spellEnd"/>
      <w:proofErr w:type="gramEnd"/>
      <w:r w:rsidRPr="00401FE3">
        <w:rPr>
          <w:b/>
          <w:i/>
          <w:color w:val="222222"/>
          <w:sz w:val="28"/>
          <w:szCs w:val="28"/>
          <w:lang w:val="ru-RU"/>
        </w:rPr>
        <w:t xml:space="preserve"> пожилого возраста, ветеранов физической культуры и спорта традиционно в течение года проводятся спартакиады и фестивали. В 2024 году делегация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Минщины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достойно выступила на </w:t>
      </w:r>
      <w:r w:rsidRPr="00401FE3">
        <w:rPr>
          <w:b/>
          <w:i/>
          <w:color w:val="222222"/>
          <w:sz w:val="28"/>
          <w:szCs w:val="28"/>
        </w:rPr>
        <w:t>IX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Спартакиаде пенсионеров Российской Федерации в г. Кемерово (9 золотых медалей).</w:t>
      </w:r>
      <w:r w:rsidRPr="00401FE3">
        <w:rPr>
          <w:b/>
          <w:i/>
          <w:color w:val="222222"/>
          <w:sz w:val="28"/>
          <w:szCs w:val="28"/>
        </w:rPr>
        <w:t>  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Для людей с инвалидностью в 2024 году проведено 8 чемпионатов области по видам спорта: шахматы, шашки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шоудаун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>. Сборные команды области приняли участие в 25 чемпионатах Республики Беларусь, из них в 4 спартакиадах по видам спорта для инвалидов с нарушениями опорно-двигательного аппарата, слуха и зрения.</w:t>
      </w:r>
      <w:r w:rsidRPr="00401FE3">
        <w:rPr>
          <w:b/>
          <w:i/>
          <w:color w:val="222222"/>
          <w:sz w:val="28"/>
          <w:szCs w:val="28"/>
        </w:rPr>
        <w:t> </w:t>
      </w: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20B33946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A6BB139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3639B32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90E05D" w14:textId="407AD5A9" w:rsidR="002B3761" w:rsidRPr="00227853" w:rsidRDefault="002B3761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CCC7" w14:textId="77777777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77777777" w:rsidR="00D52F86" w:rsidRDefault="00D52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lastRenderedPageBreak/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67AF00B3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4151" cy="21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4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91B49" w14:textId="77777777" w:rsidR="00AC77D0" w:rsidRDefault="00AC77D0" w:rsidP="005E04DD">
      <w:pPr>
        <w:spacing w:after="0" w:line="240" w:lineRule="auto"/>
      </w:pPr>
      <w:r>
        <w:separator/>
      </w:r>
    </w:p>
  </w:endnote>
  <w:endnote w:type="continuationSeparator" w:id="0">
    <w:p w14:paraId="05D2579A" w14:textId="77777777" w:rsidR="00AC77D0" w:rsidRDefault="00AC77D0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68CAD" w14:textId="77777777" w:rsidR="00AC77D0" w:rsidRDefault="00AC77D0" w:rsidP="005E04DD">
      <w:pPr>
        <w:spacing w:after="0" w:line="240" w:lineRule="auto"/>
      </w:pPr>
      <w:r>
        <w:separator/>
      </w:r>
    </w:p>
  </w:footnote>
  <w:footnote w:type="continuationSeparator" w:id="0">
    <w:p w14:paraId="17D3BFF9" w14:textId="77777777" w:rsidR="00AC77D0" w:rsidRDefault="00AC77D0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30199EC4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916A01">
          <w:rPr>
            <w:rFonts w:ascii="Times New Roman" w:hAnsi="Times New Roman" w:cs="Times New Roman"/>
            <w:noProof/>
          </w:rPr>
          <w:t>17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1CF4"/>
    <w:rsid w:val="008F2565"/>
    <w:rsid w:val="00900908"/>
    <w:rsid w:val="00900DCC"/>
    <w:rsid w:val="00910D3A"/>
    <w:rsid w:val="00911DAE"/>
    <w:rsid w:val="00916A01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20C0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77D0"/>
    <w:rsid w:val="00AD6243"/>
    <w:rsid w:val="00AE117C"/>
    <w:rsid w:val="00AE7BA1"/>
    <w:rsid w:val="00B01290"/>
    <w:rsid w:val="00B02775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FDE4C-ADBD-429C-B887-0599014D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3936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cp:lastPrinted>2025-05-06T10:10:00Z</cp:lastPrinted>
  <dcterms:created xsi:type="dcterms:W3CDTF">2025-05-14T06:32:00Z</dcterms:created>
  <dcterms:modified xsi:type="dcterms:W3CDTF">2025-05-14T06:32:00Z</dcterms:modified>
</cp:coreProperties>
</file>