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A3" w:rsidRPr="000277A3" w:rsidRDefault="000277A3" w:rsidP="000277A3">
      <w:pPr>
        <w:shd w:val="clear" w:color="auto" w:fill="FFFFFF"/>
        <w:spacing w:before="300" w:after="600" w:line="240" w:lineRule="auto"/>
        <w:jc w:val="both"/>
        <w:outlineLvl w:val="0"/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</w:pPr>
      <w:r w:rsidRPr="000277A3">
        <w:rPr>
          <w:rFonts w:ascii="Merriweather" w:eastAsia="Times New Roman" w:hAnsi="Merriweather" w:cs="Times New Roman"/>
          <w:color w:val="000000"/>
          <w:kern w:val="36"/>
          <w:sz w:val="48"/>
          <w:szCs w:val="60"/>
          <w:lang w:eastAsia="ru-RU"/>
        </w:rPr>
        <w:t>Типичные нарушения законодательства об образовании</w:t>
      </w:r>
      <w:bookmarkStart w:id="0" w:name="_GoBack"/>
      <w:bookmarkEnd w:id="0"/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По результатам проверок, мониторингов и иных контрольно-аналитических мероприятий следует выделить следующие характерные нарушения законодательства об образовании, допускаемые субъектами хозяйствования частной формы собственности (далее – субъекты), в рамках оказания образовательных услуг: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субъекты продолжают организовывать работу «мини-детских садов» и (или) групп кратковременного пребывания детей (с 2-ух лет, проведением занятий (развитие речи, рисование, математика, окружающий мир, подготовка к школе и т.п.), а также предоставлением питания;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не выполняются требования части второй статьи 26 Кодекса Республики Беларусь об образовании (далее – Кодекс об образовании),</w:t>
      </w:r>
      <w:r w:rsidRPr="000277A3">
        <w:rPr>
          <w:rFonts w:ascii="Mont" w:hAnsi="Mont"/>
          <w:color w:val="000000"/>
          <w:sz w:val="28"/>
        </w:rPr>
        <w:br/>
        <w:t>а именно, субъекты хозяйствования, как иные организации, осуществляющие образовательную деятельность, не уведомляют структурные подразделения об осуществлении на территории административно-территориальной единицы образовательной деятельности;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Иные организации,</w:t>
      </w:r>
      <w:r w:rsidRPr="000277A3">
        <w:rPr>
          <w:rFonts w:ascii="Mont" w:hAnsi="Mont"/>
          <w:i/>
          <w:iCs/>
          <w:color w:val="000000"/>
          <w:sz w:val="28"/>
        </w:rPr>
        <w:t> индивидуальные предприниматели, осуществляющие образовательную деятельность,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уведомляют местные исполнительные и распорядительные органы,</w:t>
      </w:r>
      <w:r w:rsidRPr="000277A3">
        <w:rPr>
          <w:rFonts w:ascii="Mont" w:hAnsi="Mont"/>
          <w:i/>
          <w:iCs/>
          <w:color w:val="000000"/>
          <w:sz w:val="28"/>
        </w:rPr>
        <w:t> осуществляющие контроль за обеспечением качества образования,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по месту их нахождения об осуществлении</w:t>
      </w:r>
      <w:r w:rsidRPr="000277A3">
        <w:rPr>
          <w:rFonts w:ascii="Mont" w:hAnsi="Mont"/>
          <w:i/>
          <w:iCs/>
          <w:color w:val="000000"/>
          <w:sz w:val="28"/>
        </w:rPr>
        <w:t> и прекращении осуществления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ими образовательной деятельности,</w:t>
      </w:r>
      <w:r w:rsidRPr="000277A3">
        <w:rPr>
          <w:rFonts w:ascii="Mont" w:hAnsi="Mont"/>
          <w:i/>
          <w:iCs/>
          <w:color w:val="000000"/>
          <w:sz w:val="28"/>
        </w:rPr>
        <w:t> 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 и 1.3 пункта 1 статьи 252  Кодекса об образовании.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Ответственность за непредставление сведений, когда обязанность их представления предусмотрена законодательными актами, предусмотрена статьей 24.11 КоАП.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в уставах субъектов не указан порядок организации образовательного и воспитательного процессов, что не соответствует пункту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Министерством образования Республики Беларусь от 03.08.2022 № 227;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lastRenderedPageBreak/>
        <w:t>5. Учреждения, на базе которых реализуется образовательная программа дополнительного образования детей и молодежи, действуют на основании устава, в котором указывается порядок организации образовательного, воспитательного процессов.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Согласно пункта 2 Правил безопасности, -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настоящие Правила распространяются на обучающихся, осваивающих образовательную программу дополнительного образования детей и молодежи,</w:t>
      </w:r>
      <w:r w:rsidRPr="000277A3">
        <w:rPr>
          <w:rFonts w:ascii="Mont" w:hAnsi="Mont"/>
          <w:i/>
          <w:iCs/>
          <w:color w:val="000000"/>
          <w:sz w:val="28"/>
        </w:rPr>
        <w:t xml:space="preserve"> в учреждениях дополнительного образования детей и молодежи, а также в учреждениях дошкольного образования, учреждениях общего среднего образования, учреждениях профессионально-технического и среднего специального образования, учреждениях высшего образования, учреждениях специального образования, </w:t>
      </w:r>
      <w:proofErr w:type="spellStart"/>
      <w:r w:rsidRPr="000277A3">
        <w:rPr>
          <w:rFonts w:ascii="Mont" w:hAnsi="Mont"/>
          <w:i/>
          <w:iCs/>
          <w:color w:val="000000"/>
          <w:sz w:val="28"/>
        </w:rPr>
        <w:t>воспитательно</w:t>
      </w:r>
      <w:proofErr w:type="spellEnd"/>
      <w:r w:rsidRPr="000277A3">
        <w:rPr>
          <w:rFonts w:ascii="Mont" w:hAnsi="Mont"/>
          <w:i/>
          <w:iCs/>
          <w:color w:val="000000"/>
          <w:sz w:val="28"/>
        </w:rPr>
        <w:t>-оздоровительных учреждениях образования, социально-педагогических учреждениях, специальных учебно-воспитательных учреждениях, специальных лечебно-воспитательных учреждениях,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иных организациях</w:t>
      </w:r>
      <w:r w:rsidRPr="000277A3">
        <w:rPr>
          <w:rFonts w:ascii="Mont" w:hAnsi="Mont"/>
          <w:i/>
          <w:iCs/>
          <w:color w:val="000000"/>
          <w:sz w:val="28"/>
        </w:rPr>
        <w:t> (далее - учреждения, на базе которых реализуется образовательная программа дополнительного образования детей и молодежи).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не выполняются требования пункта 4 статьи 51 Кодекса об образовании. Так, в отношении лиц, принимаемых на работу на должности педагогических работников, при заключении гражданско-правового договора на осуществление педагогической деятельности, не осуществляются запросы из единого государственного банка данных о правонарушениях;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При приеме на работу на должности педагогических работников, заключении гражданско-правового договора на осуществление педагогической деятельности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иная организация, осуществляющая образовательную деятельность, которые заключают гражданско-правовые договоры на осуществление педагогической деятельности, наниматель, обязаны запрашивать в отношении лиц, с которыми они заключают соответствующий договор, из единого государственного банка данных о правонарушениях сведения о неснятой и непогашенной судимости,</w:t>
      </w:r>
      <w:r w:rsidRPr="000277A3">
        <w:rPr>
          <w:rFonts w:ascii="Mont" w:hAnsi="Mont"/>
          <w:i/>
          <w:iCs/>
          <w:color w:val="000000"/>
          <w:sz w:val="28"/>
        </w:rPr>
        <w:t> а в случаях, предусмотренных законодательными актами, – о совершенных ими преступлениях вне зависимости от снятия или погашения судимости либо прекращения уголовного преследования по основаниям, предусмотренным пунктами 3 или 4 части первой статьи 29 Уголовно-процессуального кодекса Республики Беларусь.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не выполняются требования к порядку зачисления (статьи 58 и 59 Кодекса об образовании) и отчисления обучающихся (пункт 1 статьи 68 Кодекса об образовании), выдаче документов об обучении (статьи 91 и 93 Кодекса об образовании (при реализации образовательной программы обучающих курсов). Как пример, порядок оказания платных услуг, а также взаимные права, обязанности и порядок взаимоотношений определяются публичным договором, что не соответствует положениям подпункта 2.7. пункта 2 статьи 59 Кодекса об образовании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lastRenderedPageBreak/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Типовая форма договора об оказании услуг при реализации образовательных программ на платной основе установлена в приложении 10 постановления Минобразования от 09.09.2022 № 297 «О типовых формах договоров в сфере образования». Несоответствие заключенного договора утвержденной форме нарушает права физического (обучающегося или его законного представителя) как потребителя услуги, что может повлечь ответственность в силу положений главы 4 «Защита прав потребителя при выполнении работ (оказании услуг)» Закона Республики Беларусь «О защите прав потребителей». В силу части первой статьи 13.11 Кодекса Республики Беларусь об административных правонарушениях (далее - КоАП) нарушение законодательства о торговле и общественном питании, оказании услуг населению влечет наложение штрафа в размере до 10 базовых величин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программы объедения по интересам не согласовываются со структурными подразделениями, что не соответствует положениям части четвертой пункта 7 статьи 235 Кодекса об образовании;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Программы объединений по интересам с базовым уровнем изучения образовательной области, темы, учебного предмета или учебной дисциплины утверждаются руководителем учреждения образования, иной организации, осуществляющей образовательную деятельность, реализующих образовательную программу дополнительного образования детей и молодежи,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по согласованию</w:t>
      </w:r>
      <w:r w:rsidRPr="000277A3">
        <w:rPr>
          <w:rFonts w:ascii="Mont" w:hAnsi="Mont"/>
          <w:i/>
          <w:iCs/>
          <w:color w:val="000000"/>
          <w:sz w:val="28"/>
        </w:rPr>
        <w:t> с его учредителем (для государственных учреждений образования),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(для частных учреждений образования и иных организаций),</w:t>
      </w:r>
      <w:r w:rsidRPr="000277A3">
        <w:rPr>
          <w:rFonts w:ascii="Mont" w:hAnsi="Mont"/>
          <w:i/>
          <w:iCs/>
          <w:color w:val="000000"/>
          <w:sz w:val="28"/>
        </w:rPr>
        <w:t> в порядке, определяемом Министерством образования.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t>Порядок согласования иными организациями программ объединений по интересам с базовым уровнем изучения образовательной области, темы, учебного предмета или учебной дисциплины определен пунктом 38 Положения об учреждении дополнительного образования детей и молодежи.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не выполняются положения, предусмотренные статьями 17 и 87 Кодекса об образовании, в части планирования и организации воспитательной работы с обучающимися, осваивающими содержание образовательной программы дополнительного образования детей и молодежи и образовательной программы дополнительного образования взрослых. Указанная документация субъектами не ведется;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color w:val="000000"/>
          <w:sz w:val="28"/>
        </w:rPr>
        <w:t>субъектами не создаются комиссии по разрешению конфликта интересов педагогического работника, что не соответствует части второй пункта 1 статьи 35 Кодекса об образовании;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b/>
          <w:bCs/>
          <w:i/>
          <w:iCs/>
          <w:color w:val="000000"/>
          <w:sz w:val="28"/>
        </w:rPr>
        <w:t>Справочно:</w:t>
      </w:r>
    </w:p>
    <w:p w:rsidR="00710A45" w:rsidRPr="000277A3" w:rsidRDefault="00710A45" w:rsidP="00710A4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" w:hAnsi="Mont"/>
          <w:color w:val="000000"/>
          <w:sz w:val="28"/>
        </w:rPr>
      </w:pPr>
      <w:r w:rsidRPr="000277A3">
        <w:rPr>
          <w:rFonts w:ascii="Mont" w:hAnsi="Mont"/>
          <w:i/>
          <w:iCs/>
          <w:color w:val="000000"/>
          <w:sz w:val="28"/>
        </w:rPr>
        <w:lastRenderedPageBreak/>
        <w:t>Комиссия по разрешению конфликта интересов педагогического работника создается в учреждении образования, организации, реализующей образовательные программы научно-ориентированного образования, </w:t>
      </w:r>
      <w:r w:rsidRPr="000277A3">
        <w:rPr>
          <w:rFonts w:ascii="Mont" w:hAnsi="Mont"/>
          <w:b/>
          <w:bCs/>
          <w:i/>
          <w:iCs/>
          <w:color w:val="000000"/>
          <w:sz w:val="28"/>
        </w:rPr>
        <w:t>иной организации, у индивидуального предпринимателя, осуществляющих образовательную деятельность.</w:t>
      </w:r>
    </w:p>
    <w:p w:rsidR="00710A45" w:rsidRDefault="00710A45" w:rsidP="00710A4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" w:hAnsi="Mont"/>
          <w:color w:val="000000"/>
        </w:rPr>
      </w:pPr>
      <w:r w:rsidRPr="000277A3">
        <w:rPr>
          <w:rFonts w:ascii="Mont" w:hAnsi="Mont"/>
          <w:color w:val="000000"/>
          <w:sz w:val="28"/>
        </w:rPr>
        <w:t>не выполняются требования, предусмотренные подпунктами 3.3. пункта 3 статьи 35 Кодекса об образовании, в части соблюдения санитарно-эпидемиологических требований.</w:t>
      </w:r>
    </w:p>
    <w:p w:rsidR="00112F36" w:rsidRDefault="00112F36"/>
    <w:sectPr w:rsidR="0011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45"/>
    <w:rsid w:val="000277A3"/>
    <w:rsid w:val="00112F36"/>
    <w:rsid w:val="00710A45"/>
    <w:rsid w:val="00A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3B00"/>
  <w15:chartTrackingRefBased/>
  <w15:docId w15:val="{8BC1255B-DD68-4279-BD0E-5B542D2C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2024-12-30T05:35:00Z</dcterms:created>
  <dcterms:modified xsi:type="dcterms:W3CDTF">2024-12-30T07:22:00Z</dcterms:modified>
</cp:coreProperties>
</file>