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9" w:rsidRDefault="00BC2DF9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D02D69">
        <w:rPr>
          <w:b/>
          <w:szCs w:val="30"/>
        </w:rPr>
        <w:t xml:space="preserve"> с понижением цены </w:t>
      </w:r>
      <w:r w:rsidR="002672FB">
        <w:rPr>
          <w:b/>
          <w:szCs w:val="30"/>
        </w:rPr>
        <w:t>до 1 базовой величины</w:t>
      </w: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BC2DF9" w:rsidRDefault="00BC2DF9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DF1BB5">
        <w:rPr>
          <w:szCs w:val="30"/>
        </w:rPr>
        <w:t>23</w:t>
      </w:r>
      <w:r w:rsidR="007F3817">
        <w:rPr>
          <w:szCs w:val="30"/>
        </w:rPr>
        <w:t xml:space="preserve"> га</w:t>
      </w:r>
      <w:proofErr w:type="gramStart"/>
      <w:r w:rsidR="007F3817">
        <w:rPr>
          <w:szCs w:val="30"/>
        </w:rPr>
        <w:t>.</w:t>
      </w:r>
      <w:r w:rsidRPr="00080238">
        <w:rPr>
          <w:szCs w:val="30"/>
        </w:rPr>
        <w:t>;</w:t>
      </w:r>
      <w:proofErr w:type="gramEnd"/>
    </w:p>
    <w:p w:rsidR="009469A5" w:rsidRPr="00BC2DF9" w:rsidRDefault="009469A5" w:rsidP="00BC2DF9">
      <w:pPr>
        <w:rPr>
          <w:szCs w:val="30"/>
        </w:rPr>
      </w:pPr>
    </w:p>
    <w:p w:rsidR="001A5D0D" w:rsidRPr="00BC2DF9" w:rsidRDefault="001A5D0D" w:rsidP="00BC2DF9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1C15DF">
        <w:rPr>
          <w:szCs w:val="30"/>
        </w:rPr>
        <w:t>Ивако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1C15DF">
        <w:rPr>
          <w:szCs w:val="30"/>
        </w:rPr>
        <w:t>аг</w:t>
      </w:r>
      <w:proofErr w:type="spellEnd"/>
      <w:r w:rsidR="001C15DF">
        <w:rPr>
          <w:szCs w:val="30"/>
        </w:rPr>
        <w:t xml:space="preserve">. </w:t>
      </w:r>
      <w:proofErr w:type="spellStart"/>
      <w:r w:rsidR="001C15DF">
        <w:rPr>
          <w:szCs w:val="30"/>
        </w:rPr>
        <w:t>Иваки</w:t>
      </w:r>
      <w:proofErr w:type="spellEnd"/>
      <w:r w:rsidR="00932DA6">
        <w:rPr>
          <w:szCs w:val="30"/>
        </w:rPr>
        <w:t xml:space="preserve">, ул. </w:t>
      </w:r>
      <w:r w:rsidR="001C15DF">
        <w:rPr>
          <w:szCs w:val="30"/>
        </w:rPr>
        <w:t>Заречная</w:t>
      </w:r>
      <w:r w:rsidR="00932DA6">
        <w:rPr>
          <w:szCs w:val="30"/>
        </w:rPr>
        <w:t>, д.</w:t>
      </w:r>
      <w:r w:rsidR="007F3817">
        <w:rPr>
          <w:szCs w:val="30"/>
        </w:rPr>
        <w:t xml:space="preserve"> </w:t>
      </w:r>
      <w:r w:rsidR="001C15DF">
        <w:rPr>
          <w:szCs w:val="30"/>
        </w:rPr>
        <w:t>13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DF1BB5">
        <w:rPr>
          <w:szCs w:val="30"/>
        </w:rPr>
        <w:t>4</w:t>
      </w:r>
      <w:r w:rsidR="001C15DF">
        <w:rPr>
          <w:szCs w:val="30"/>
        </w:rPr>
        <w:t>8,7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proofErr w:type="gramStart"/>
      <w:r w:rsidR="00932DA6">
        <w:rPr>
          <w:szCs w:val="30"/>
          <w:vertAlign w:val="superscript"/>
        </w:rPr>
        <w:t>2</w:t>
      </w:r>
      <w:proofErr w:type="gramEnd"/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постройки- 1960 года</w:t>
      </w:r>
      <w:r w:rsidR="00DE029E">
        <w:rPr>
          <w:szCs w:val="30"/>
        </w:rPr>
        <w:t xml:space="preserve">, </w:t>
      </w:r>
      <w:r w:rsidR="001C15DF">
        <w:rPr>
          <w:szCs w:val="30"/>
        </w:rPr>
        <w:t>6</w:t>
      </w:r>
      <w:r w:rsidR="00DE029E">
        <w:rPr>
          <w:szCs w:val="30"/>
        </w:rPr>
        <w:t>0 % 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  <w:r w:rsidR="00BC2DF9">
        <w:rPr>
          <w:szCs w:val="30"/>
        </w:rPr>
        <w:t xml:space="preserve"> </w:t>
      </w:r>
      <w:r w:rsidRPr="00BC2DF9">
        <w:rPr>
          <w:szCs w:val="30"/>
        </w:rPr>
        <w:t>водоотведение – отсутствуют.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Pr="00D02D69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 xml:space="preserve">решения Гомельского областного комитета от 30.09.2021 года № 733 «Об отчуждении пустующих жилых домов» </w:t>
      </w:r>
      <w:r w:rsidRPr="00D02D69">
        <w:rPr>
          <w:szCs w:val="30"/>
        </w:rPr>
        <w:t>- стоимость в текущем использовании пустующего дома –</w:t>
      </w:r>
      <w:r w:rsidR="002672FB">
        <w:rPr>
          <w:szCs w:val="30"/>
        </w:rPr>
        <w:t xml:space="preserve"> </w:t>
      </w:r>
      <w:r w:rsidR="008376DE" w:rsidRPr="002672FB">
        <w:rPr>
          <w:b/>
          <w:szCs w:val="30"/>
        </w:rPr>
        <w:t>4</w:t>
      </w:r>
      <w:r w:rsidR="002672FB" w:rsidRPr="002672FB">
        <w:rPr>
          <w:b/>
          <w:szCs w:val="30"/>
        </w:rPr>
        <w:t>0</w:t>
      </w:r>
      <w:r w:rsidR="00D02D69" w:rsidRPr="002672FB">
        <w:rPr>
          <w:b/>
          <w:szCs w:val="30"/>
        </w:rPr>
        <w:t>,00</w:t>
      </w:r>
      <w:r w:rsidR="00D02D69" w:rsidRPr="00D02D69">
        <w:rPr>
          <w:szCs w:val="30"/>
        </w:rPr>
        <w:t xml:space="preserve"> </w:t>
      </w:r>
      <w:r w:rsidRPr="00D02D69">
        <w:rPr>
          <w:szCs w:val="30"/>
        </w:rPr>
        <w:t>(</w:t>
      </w:r>
      <w:r w:rsidR="002672FB">
        <w:rPr>
          <w:szCs w:val="30"/>
        </w:rPr>
        <w:t>сорок</w:t>
      </w:r>
      <w:r w:rsidR="008376DE">
        <w:rPr>
          <w:szCs w:val="30"/>
        </w:rPr>
        <w:t xml:space="preserve"> </w:t>
      </w:r>
      <w:r w:rsidR="002672FB">
        <w:rPr>
          <w:szCs w:val="30"/>
        </w:rPr>
        <w:t>белорусских рублей</w:t>
      </w:r>
      <w:r w:rsidRPr="00D02D69">
        <w:rPr>
          <w:szCs w:val="30"/>
        </w:rPr>
        <w:t xml:space="preserve"> 00 копеек).</w:t>
      </w:r>
    </w:p>
    <w:p w:rsidR="005C231E" w:rsidRPr="00876720" w:rsidRDefault="005C231E" w:rsidP="005C231E">
      <w:pPr>
        <w:pStyle w:val="a3"/>
        <w:ind w:left="0" w:firstLine="708"/>
        <w:rPr>
          <w:color w:val="FF0000"/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4D13CF" w:rsidRPr="004D13CF">
        <w:rPr>
          <w:szCs w:val="30"/>
        </w:rPr>
        <w:t xml:space="preserve"> +375 29 1521642</w:t>
      </w:r>
      <w:r w:rsidRPr="004D13CF">
        <w:rPr>
          <w:szCs w:val="30"/>
        </w:rPr>
        <w:t xml:space="preserve">; 802333 </w:t>
      </w:r>
      <w:r w:rsidR="004D13CF" w:rsidRPr="004D13CF">
        <w:rPr>
          <w:szCs w:val="30"/>
        </w:rPr>
        <w:t>77393, 74899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</w:t>
      </w:r>
      <w:proofErr w:type="gramStart"/>
      <w:r w:rsidRPr="004D13CF">
        <w:rPr>
          <w:szCs w:val="30"/>
        </w:rPr>
        <w:t xml:space="preserve">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4D13CF">
        <w:rPr>
          <w:szCs w:val="30"/>
        </w:rPr>
        <w:t>дающий внесения суммы задатка (5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</w:t>
      </w:r>
      <w:proofErr w:type="gramEnd"/>
      <w:r>
        <w:rPr>
          <w:szCs w:val="30"/>
        </w:rPr>
        <w:t xml:space="preserve">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4D13CF">
        <w:rPr>
          <w:szCs w:val="30"/>
        </w:rPr>
        <w:t>аг</w:t>
      </w:r>
      <w:proofErr w:type="spellEnd"/>
      <w:r w:rsidR="004D13CF">
        <w:rPr>
          <w:szCs w:val="30"/>
        </w:rPr>
        <w:t xml:space="preserve">. </w:t>
      </w:r>
      <w:proofErr w:type="spellStart"/>
      <w:r w:rsidR="004D13CF">
        <w:rPr>
          <w:szCs w:val="30"/>
        </w:rPr>
        <w:t>Иваки</w:t>
      </w:r>
      <w:proofErr w:type="spellEnd"/>
      <w:r>
        <w:rPr>
          <w:szCs w:val="30"/>
        </w:rPr>
        <w:t xml:space="preserve">, ул. </w:t>
      </w:r>
      <w:r w:rsidR="004D13CF">
        <w:rPr>
          <w:szCs w:val="30"/>
        </w:rPr>
        <w:t>Ленина В.И.</w:t>
      </w:r>
      <w:r>
        <w:rPr>
          <w:szCs w:val="30"/>
        </w:rPr>
        <w:t>,  1</w:t>
      </w:r>
      <w:r w:rsidR="004D13CF">
        <w:rPr>
          <w:szCs w:val="30"/>
        </w:rPr>
        <w:t>6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2672FB">
        <w:rPr>
          <w:b/>
          <w:szCs w:val="30"/>
          <w:u w:val="single"/>
        </w:rPr>
        <w:t>с 20</w:t>
      </w:r>
      <w:r>
        <w:rPr>
          <w:b/>
          <w:szCs w:val="30"/>
          <w:u w:val="single"/>
        </w:rPr>
        <w:t xml:space="preserve"> </w:t>
      </w:r>
      <w:r w:rsidR="002672FB">
        <w:rPr>
          <w:b/>
          <w:szCs w:val="30"/>
          <w:u w:val="single"/>
        </w:rPr>
        <w:t>января</w:t>
      </w:r>
      <w:r w:rsidR="004D13CF">
        <w:rPr>
          <w:b/>
          <w:szCs w:val="30"/>
          <w:u w:val="single"/>
        </w:rPr>
        <w:t xml:space="preserve"> 202</w:t>
      </w:r>
      <w:r w:rsidR="002672FB">
        <w:rPr>
          <w:b/>
          <w:szCs w:val="30"/>
          <w:u w:val="single"/>
        </w:rPr>
        <w:t>4</w:t>
      </w:r>
      <w:r w:rsidR="004D13CF">
        <w:rPr>
          <w:b/>
          <w:szCs w:val="30"/>
          <w:u w:val="single"/>
        </w:rPr>
        <w:t xml:space="preserve"> г. по  </w:t>
      </w:r>
      <w:r w:rsidR="002672FB">
        <w:rPr>
          <w:b/>
          <w:szCs w:val="30"/>
          <w:u w:val="single"/>
        </w:rPr>
        <w:t xml:space="preserve">19 </w:t>
      </w:r>
      <w:r w:rsidR="008376DE">
        <w:rPr>
          <w:b/>
          <w:szCs w:val="30"/>
          <w:u w:val="single"/>
        </w:rPr>
        <w:t xml:space="preserve"> </w:t>
      </w:r>
      <w:r w:rsidR="00BC2DF9">
        <w:rPr>
          <w:b/>
          <w:szCs w:val="30"/>
          <w:u w:val="single"/>
        </w:rPr>
        <w:t xml:space="preserve">февраля </w:t>
      </w:r>
      <w:r w:rsidR="008376DE">
        <w:rPr>
          <w:b/>
          <w:szCs w:val="30"/>
          <w:u w:val="single"/>
        </w:rPr>
        <w:t xml:space="preserve"> 2024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4D13CF" w:rsidP="001A5D0D">
      <w:pPr>
        <w:tabs>
          <w:tab w:val="left" w:pos="5387"/>
        </w:tabs>
        <w:rPr>
          <w:sz w:val="14"/>
          <w:szCs w:val="14"/>
        </w:rPr>
      </w:pPr>
      <w:r>
        <w:rPr>
          <w:noProof/>
          <w:sz w:val="14"/>
          <w:szCs w:val="14"/>
          <w:lang w:eastAsia="ru-RU"/>
        </w:rPr>
        <w:drawing>
          <wp:inline distT="0" distB="0" distL="0" distR="0">
            <wp:extent cx="6120765" cy="3415390"/>
            <wp:effectExtent l="0" t="0" r="0" b="0"/>
            <wp:docPr id="2" name="Рисунок 2" descr="F:\Указ 116\Фото домов\IMG_20220120_09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каз 116\Фото домов\IMG_20220120_095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 xml:space="preserve">: граждане, индивидуальные предприниматели и юридические лица, подавшие в комиссию </w:t>
      </w:r>
      <w:proofErr w:type="gramStart"/>
      <w:r w:rsidRPr="00B83738">
        <w:rPr>
          <w:rFonts w:cs="Times New Roman"/>
          <w:i/>
          <w:szCs w:val="30"/>
        </w:rPr>
        <w:t>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  <w:proofErr w:type="gramEnd"/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BC2DF9">
        <w:rPr>
          <w:rFonts w:cs="Times New Roman"/>
          <w:b/>
          <w:i/>
          <w:szCs w:val="30"/>
          <w:u w:val="single"/>
        </w:rPr>
        <w:t>до 19</w:t>
      </w:r>
      <w:r w:rsidRPr="00B83738">
        <w:rPr>
          <w:rFonts w:cs="Times New Roman"/>
          <w:b/>
          <w:i/>
          <w:szCs w:val="30"/>
          <w:u w:val="single"/>
        </w:rPr>
        <w:t>.</w:t>
      </w:r>
      <w:r w:rsidR="008376DE">
        <w:rPr>
          <w:rFonts w:cs="Times New Roman"/>
          <w:b/>
          <w:i/>
          <w:szCs w:val="30"/>
          <w:u w:val="single"/>
        </w:rPr>
        <w:t>0</w:t>
      </w:r>
      <w:r w:rsidR="00BC2DF9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.202</w:t>
      </w:r>
      <w:r w:rsidR="008376DE">
        <w:rPr>
          <w:rFonts w:cs="Times New Roman"/>
          <w:b/>
          <w:i/>
          <w:szCs w:val="30"/>
          <w:u w:val="single"/>
        </w:rPr>
        <w:t>4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 xml:space="preserve"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</w:t>
      </w:r>
      <w:r w:rsidRPr="00B83738">
        <w:rPr>
          <w:rFonts w:cs="Times New Roman"/>
          <w:i/>
          <w:szCs w:val="30"/>
        </w:rPr>
        <w:lastRenderedPageBreak/>
        <w:t>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proofErr w:type="gramStart"/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Pr="00B83738">
        <w:rPr>
          <w:rFonts w:cs="Times New Roman"/>
          <w:i/>
          <w:szCs w:val="3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4D13CF">
        <w:rPr>
          <w:rFonts w:cs="Times New Roman"/>
          <w:i/>
          <w:szCs w:val="30"/>
        </w:rPr>
        <w:t>Ивак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BC2DF9" w:rsidRDefault="00BC2DF9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bookmarkStart w:id="0" w:name="_GoBack"/>
      <w:bookmarkEnd w:id="0"/>
    </w:p>
    <w:p w:rsidR="004D13CF" w:rsidRPr="00B83738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8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4D13CF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Иваковский</w:t>
      </w:r>
      <w:proofErr w:type="spellEnd"/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  <w:proofErr w:type="gramEnd"/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BC2DF9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9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</w:t>
      </w:r>
      <w:proofErr w:type="gramStart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  <w:proofErr w:type="gramEnd"/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</w:t>
      </w:r>
      <w:proofErr w:type="gramStart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  <w:proofErr w:type="gramEnd"/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6286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1"/>
    <w:rsid w:val="0000338C"/>
    <w:rsid w:val="00035C11"/>
    <w:rsid w:val="00037548"/>
    <w:rsid w:val="00052EDA"/>
    <w:rsid w:val="00057E12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672FB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81531"/>
    <w:rsid w:val="005B7C88"/>
    <w:rsid w:val="005C231E"/>
    <w:rsid w:val="006266EB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376DE"/>
    <w:rsid w:val="00865763"/>
    <w:rsid w:val="0086660C"/>
    <w:rsid w:val="00876720"/>
    <w:rsid w:val="008A42E3"/>
    <w:rsid w:val="008A5502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BC2DF9"/>
    <w:rsid w:val="00C279F0"/>
    <w:rsid w:val="00C40052"/>
    <w:rsid w:val="00C92BD3"/>
    <w:rsid w:val="00CA4C43"/>
    <w:rsid w:val="00CC275F"/>
    <w:rsid w:val="00CE7BC9"/>
    <w:rsid w:val="00CF24CB"/>
    <w:rsid w:val="00D02D69"/>
    <w:rsid w:val="00D14074"/>
    <w:rsid w:val="00D15AA8"/>
    <w:rsid w:val="00D3028A"/>
    <w:rsid w:val="00D321FD"/>
    <w:rsid w:val="00D442D9"/>
    <w:rsid w:val="00D6668F"/>
    <w:rsid w:val="00D75D30"/>
    <w:rsid w:val="00DC6299"/>
    <w:rsid w:val="00DE029E"/>
    <w:rsid w:val="00DF1BB5"/>
    <w:rsid w:val="00DF71D1"/>
    <w:rsid w:val="00E05E89"/>
    <w:rsid w:val="00E124F5"/>
    <w:rsid w:val="00E56670"/>
    <w:rsid w:val="00E62EF3"/>
    <w:rsid w:val="00EB1C69"/>
    <w:rsid w:val="00EB59E6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68071&amp;a=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24086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43FD-9F15-4E70-8FC6-FE51EE7C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Gigabyte</cp:lastModifiedBy>
  <cp:revision>9</cp:revision>
  <cp:lastPrinted>2022-05-24T12:01:00Z</cp:lastPrinted>
  <dcterms:created xsi:type="dcterms:W3CDTF">2023-05-23T10:36:00Z</dcterms:created>
  <dcterms:modified xsi:type="dcterms:W3CDTF">2024-01-16T09:18:00Z</dcterms:modified>
</cp:coreProperties>
</file>